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74960" w:rsidRPr="00E31856" w:rsidTr="001B372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74960" w:rsidRPr="00E31856" w:rsidRDefault="00874960" w:rsidP="001B372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caps/>
              </w:rPr>
              <w:t>Regionalna politika EU</w:t>
            </w:r>
          </w:p>
        </w:tc>
      </w:tr>
      <w:tr w:rsidR="00874960" w:rsidRPr="00E31856" w:rsidTr="001B372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Kȏd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B52A78" w:rsidRDefault="00874960" w:rsidP="001B3720">
            <w:pPr>
              <w:spacing w:after="0" w:line="240" w:lineRule="auto"/>
              <w:rPr>
                <w:rFonts w:ascii="Arial" w:hAnsi="Arial" w:cs="Arial"/>
              </w:rPr>
            </w:pPr>
            <w:r w:rsidRPr="00B52A78">
              <w:rPr>
                <w:rFonts w:ascii="Arial" w:hAnsi="Arial" w:cs="Arial"/>
              </w:rPr>
              <w:t>EUE314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74960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doc. dr.sc. Vinko Muštra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505A33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74960" w:rsidRPr="00E31856" w:rsidTr="001B372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2D2A99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960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4960" w:rsidRPr="00E31856" w:rsidRDefault="00874960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4960" w:rsidRPr="00E31856" w:rsidRDefault="00874960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4960" w:rsidRPr="00E31856" w:rsidRDefault="00874960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74960" w:rsidRPr="00E31856" w:rsidTr="001B372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4960" w:rsidRPr="00677DF2" w:rsidRDefault="00874960" w:rsidP="001B372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4960" w:rsidRPr="00677DF2" w:rsidRDefault="002767BF" w:rsidP="001B372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4960" w:rsidRPr="00E31856" w:rsidRDefault="00874960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960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Obvezni/izborni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4960" w:rsidRPr="00E31856" w:rsidRDefault="00677DF2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15%</w:t>
            </w:r>
          </w:p>
        </w:tc>
      </w:tr>
      <w:tr w:rsidR="00874960" w:rsidRPr="00E31856" w:rsidTr="001B372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74960" w:rsidRPr="00E31856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4960" w:rsidRPr="00E31856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Očekuje se da student razumije osnovne elemente procesa kreiranja i vođenja regionalne politike EU.</w:t>
            </w:r>
          </w:p>
        </w:tc>
      </w:tr>
      <w:tr w:rsidR="00874960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4960" w:rsidRPr="00E31856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874960" w:rsidRPr="00E31856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74960" w:rsidRPr="00E31856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960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4960" w:rsidRPr="00E31856" w:rsidRDefault="00874960" w:rsidP="001B372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874960" w:rsidRPr="00E31856" w:rsidRDefault="00874960" w:rsidP="001B372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1. Polaznik će kritičkim prosuđivanjem  ključnih elemenata regionalne politike EU valorizirati adekvatnost različitih instrumenata  u poticanju regionalnog razvoja</w:t>
            </w:r>
          </w:p>
          <w:p w:rsidR="00874960" w:rsidRPr="00E31856" w:rsidRDefault="00874960" w:rsidP="001B372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874960" w:rsidRPr="00E31856" w:rsidRDefault="00874960" w:rsidP="001B372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1. Polaznik/ica prosuđivati ključne elemente regionalne ekonomske strukture EU</w:t>
            </w:r>
          </w:p>
          <w:p w:rsidR="00874960" w:rsidRPr="00E31856" w:rsidRDefault="00874960" w:rsidP="001B372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2. Polaznik/ica će uspoređivati prednosti i nedostatke povijesnih elemenata kreiranja regionalne politike EU</w:t>
            </w:r>
          </w:p>
          <w:p w:rsidR="00874960" w:rsidRPr="00E31856" w:rsidRDefault="00874960" w:rsidP="001B372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3. Polaznik/ica će prosuđivati  institucionalni okvir regionalne politike EU</w:t>
            </w:r>
          </w:p>
          <w:p w:rsidR="00874960" w:rsidRPr="00E31856" w:rsidRDefault="00874960" w:rsidP="001B372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4. Polaznik/ica će valorizirati ključne osobine vođenja regionalne politike EU</w:t>
            </w:r>
          </w:p>
          <w:p w:rsidR="00874960" w:rsidRPr="00E31856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       5. Polaznik/ica će ocijeniti primjerenost ključnih pristupa regionalne politike EU s obzirom na promatrane elemente regionalne ekonomske strukture  </w:t>
            </w:r>
          </w:p>
        </w:tc>
      </w:tr>
      <w:tr w:rsidR="00874960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4960" w:rsidRPr="00E31856" w:rsidRDefault="002D2A9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74960"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473"/>
              <w:gridCol w:w="3493"/>
            </w:tblGrid>
            <w:tr w:rsidR="00874960" w:rsidRPr="00E31856" w:rsidTr="001B3720">
              <w:trPr>
                <w:trHeight w:hRule="exact" w:val="566"/>
                <w:jc w:val="center"/>
              </w:trPr>
              <w:tc>
                <w:tcPr>
                  <w:tcW w:w="347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>Uvod: Europski integracijski procesi. Ekonomija, institucije i ugovori EU. Socio-ekonomska kohezija EU - generalni okvir.</w:t>
                  </w:r>
                </w:p>
              </w:tc>
              <w:tc>
                <w:tcPr>
                  <w:tcW w:w="34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>Uvod: Dogovor o načinu rada i o temama seminara.</w:t>
                  </w:r>
                </w:p>
              </w:tc>
            </w:tr>
            <w:tr w:rsidR="00874960" w:rsidRPr="00E31856" w:rsidTr="001B3720">
              <w:trPr>
                <w:trHeight w:hRule="exact" w:val="562"/>
                <w:jc w:val="center"/>
              </w:trPr>
              <w:tc>
                <w:tcPr>
                  <w:tcW w:w="347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>Povijest regionalne politike EU. Nastanak i razvoj regionalne politike EU. Konceptualne osnove.</w:t>
                  </w:r>
                </w:p>
              </w:tc>
              <w:tc>
                <w:tcPr>
                  <w:tcW w:w="34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>Utvrđivanje pojmova s predavanja.</w:t>
                  </w:r>
                </w:p>
              </w:tc>
            </w:tr>
            <w:tr w:rsidR="00874960" w:rsidRPr="00E31856" w:rsidTr="001B3720">
              <w:trPr>
                <w:trHeight w:hRule="exact" w:val="562"/>
                <w:jc w:val="center"/>
              </w:trPr>
              <w:tc>
                <w:tcPr>
                  <w:tcW w:w="347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</w:rPr>
                    <w:t>Osnovni elementi regionalne politike EU u  programskom razdoblju 2007.-2013.</w:t>
                  </w:r>
                </w:p>
              </w:tc>
              <w:tc>
                <w:tcPr>
                  <w:tcW w:w="34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>Utvrđivanje pojmova s predavanja.</w:t>
                  </w:r>
                </w:p>
              </w:tc>
            </w:tr>
            <w:tr w:rsidR="00874960" w:rsidRPr="00E31856" w:rsidTr="001B3720">
              <w:trPr>
                <w:trHeight w:hRule="exact" w:val="562"/>
                <w:jc w:val="center"/>
              </w:trPr>
              <w:tc>
                <w:tcPr>
                  <w:tcW w:w="347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</w:rPr>
                    <w:t>Osnovni elementi regionalne politike EU u  programskom razdoblju 2014.-2020.</w:t>
                  </w:r>
                </w:p>
              </w:tc>
              <w:tc>
                <w:tcPr>
                  <w:tcW w:w="34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spacing w:line="187" w:lineRule="exact"/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 xml:space="preserve">Upravljanje projektnim ciklusom - </w:t>
                  </w:r>
                  <w:r w:rsidRPr="00E31856">
                    <w:rPr>
                      <w:rFonts w:ascii="Arial" w:hAnsi="Arial" w:cs="Arial"/>
                      <w:sz w:val="15"/>
                      <w:szCs w:val="15"/>
                    </w:rPr>
                    <w:t>Programski i projektni ciklus</w:t>
                  </w:r>
                </w:p>
              </w:tc>
            </w:tr>
            <w:tr w:rsidR="00874960" w:rsidRPr="00E31856" w:rsidTr="001B3720">
              <w:trPr>
                <w:trHeight w:hRule="exact" w:val="374"/>
                <w:jc w:val="center"/>
              </w:trPr>
              <w:tc>
                <w:tcPr>
                  <w:tcW w:w="347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  <w:sz w:val="16"/>
                      <w:szCs w:val="16"/>
                    </w:rPr>
                    <w:t>Povijest regionalne politike EU. Povezanost s drugim politikama EU.</w:t>
                  </w:r>
                </w:p>
              </w:tc>
              <w:tc>
                <w:tcPr>
                  <w:tcW w:w="34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 xml:space="preserve">Upravljanje projektnim ciklusom – </w:t>
                  </w:r>
                  <w:r w:rsidRPr="00E31856">
                    <w:rPr>
                      <w:rFonts w:ascii="Arial" w:hAnsi="Arial" w:cs="Arial"/>
                      <w:sz w:val="15"/>
                      <w:szCs w:val="15"/>
                    </w:rPr>
                    <w:t>Analitička faza</w:t>
                  </w:r>
                </w:p>
              </w:tc>
            </w:tr>
            <w:tr w:rsidR="00874960" w:rsidRPr="00E31856" w:rsidTr="001B3720">
              <w:trPr>
                <w:trHeight w:hRule="exact" w:val="566"/>
                <w:jc w:val="center"/>
              </w:trPr>
              <w:tc>
                <w:tcPr>
                  <w:tcW w:w="347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>Europske regije: Socio-ekonomski i institucionalni aspekti. Nomenklatura terito-rijalnih jedinica za statističke svrhe- NUTS.</w:t>
                  </w:r>
                </w:p>
              </w:tc>
              <w:tc>
                <w:tcPr>
                  <w:tcW w:w="34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 xml:space="preserve">Upravljanje projektnim ciklusom – </w:t>
                  </w:r>
                  <w:r w:rsidRPr="00E31856">
                    <w:rPr>
                      <w:rFonts w:ascii="Arial" w:hAnsi="Arial" w:cs="Arial"/>
                      <w:sz w:val="15"/>
                      <w:szCs w:val="15"/>
                    </w:rPr>
                    <w:t>Analitička faza</w:t>
                  </w:r>
                </w:p>
              </w:tc>
            </w:tr>
            <w:tr w:rsidR="00874960" w:rsidRPr="00E31856" w:rsidTr="001B3720">
              <w:trPr>
                <w:trHeight w:hRule="exact" w:val="374"/>
                <w:jc w:val="center"/>
              </w:trPr>
              <w:tc>
                <w:tcPr>
                  <w:tcW w:w="347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spacing w:line="150" w:lineRule="exact"/>
                    <w:jc w:val="center"/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>Regionalni razvojni dispariteti i konvergencija u EU</w:t>
                  </w:r>
                </w:p>
                <w:p w:rsidR="00874960" w:rsidRPr="00E31856" w:rsidRDefault="00874960" w:rsidP="001B3720">
                  <w:pPr>
                    <w:spacing w:line="150" w:lineRule="exact"/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>EU.</w:t>
                  </w:r>
                </w:p>
              </w:tc>
              <w:tc>
                <w:tcPr>
                  <w:tcW w:w="34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 xml:space="preserve">Upravljanje projektnim ciklusom – </w:t>
                  </w:r>
                  <w:r w:rsidRPr="00E31856">
                    <w:rPr>
                      <w:rFonts w:ascii="Arial" w:hAnsi="Arial" w:cs="Arial"/>
                      <w:sz w:val="15"/>
                      <w:szCs w:val="15"/>
                    </w:rPr>
                    <w:t>Kreativna faza</w:t>
                  </w:r>
                </w:p>
              </w:tc>
            </w:tr>
            <w:tr w:rsidR="00874960" w:rsidRPr="00E31856" w:rsidTr="001B3720">
              <w:trPr>
                <w:trHeight w:hRule="exact" w:val="562"/>
                <w:jc w:val="center"/>
              </w:trPr>
              <w:tc>
                <w:tcPr>
                  <w:tcW w:w="347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spacing w:line="178" w:lineRule="exact"/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>Regionalni indekskonkurentnosti  EU</w:t>
                  </w:r>
                </w:p>
              </w:tc>
              <w:tc>
                <w:tcPr>
                  <w:tcW w:w="34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spacing w:line="187" w:lineRule="exact"/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 xml:space="preserve">Upravljanje projektnim ciklusom – </w:t>
                  </w:r>
                  <w:r w:rsidRPr="00E31856">
                    <w:rPr>
                      <w:rFonts w:ascii="Arial" w:hAnsi="Arial" w:cs="Arial"/>
                      <w:sz w:val="15"/>
                      <w:szCs w:val="15"/>
                    </w:rPr>
                    <w:t>Kreativna faza</w:t>
                  </w:r>
                </w:p>
              </w:tc>
            </w:tr>
            <w:tr w:rsidR="00874960" w:rsidRPr="00E31856" w:rsidTr="001B3720">
              <w:trPr>
                <w:trHeight w:hRule="exact" w:val="562"/>
                <w:jc w:val="center"/>
              </w:trPr>
              <w:tc>
                <w:tcPr>
                  <w:tcW w:w="347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lastRenderedPageBreak/>
                    <w:t>Regionalni indeks konkurentnosti RH</w:t>
                  </w:r>
                </w:p>
              </w:tc>
              <w:tc>
                <w:tcPr>
                  <w:tcW w:w="34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  <w:sz w:val="16"/>
                      <w:szCs w:val="16"/>
                    </w:rPr>
                    <w:t xml:space="preserve">Upravljanje projektnim ciklusom – </w:t>
                  </w:r>
                  <w:r w:rsidRPr="00E31856">
                    <w:rPr>
                      <w:rFonts w:ascii="Arial" w:hAnsi="Arial" w:cs="Arial"/>
                      <w:sz w:val="16"/>
                      <w:szCs w:val="16"/>
                    </w:rPr>
                    <w:t>Strukturna faza</w:t>
                  </w:r>
                </w:p>
              </w:tc>
            </w:tr>
            <w:tr w:rsidR="00874960" w:rsidRPr="00E31856" w:rsidTr="001B3720">
              <w:trPr>
                <w:trHeight w:hRule="exact" w:val="744"/>
                <w:jc w:val="center"/>
              </w:trPr>
              <w:tc>
                <w:tcPr>
                  <w:tcW w:w="347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>Financijska osnova (proračun) i instrumenti (fondovi) europske regionalne solidarnosti. ERDF, ESF, EAGGF, FIFG i CF, EIB...</w:t>
                  </w:r>
                </w:p>
              </w:tc>
              <w:tc>
                <w:tcPr>
                  <w:tcW w:w="34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  <w:sz w:val="16"/>
                      <w:szCs w:val="16"/>
                    </w:rPr>
                    <w:t xml:space="preserve">Upravljanje projektnim ciklusom – </w:t>
                  </w:r>
                  <w:r w:rsidRPr="00E31856">
                    <w:rPr>
                      <w:rFonts w:ascii="Arial" w:hAnsi="Arial" w:cs="Arial"/>
                      <w:sz w:val="16"/>
                      <w:szCs w:val="16"/>
                    </w:rPr>
                    <w:t>Strukturna faza</w:t>
                  </w:r>
                </w:p>
              </w:tc>
            </w:tr>
            <w:tr w:rsidR="00874960" w:rsidRPr="00E31856" w:rsidTr="001B3720">
              <w:trPr>
                <w:trHeight w:hRule="exact" w:val="384"/>
                <w:jc w:val="center"/>
              </w:trPr>
              <w:tc>
                <w:tcPr>
                  <w:tcW w:w="347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>Upravljački i institucionalni aspekti regionalne politike EU. Prinicipi u provedbi regionalne politike EU. Supsidijarnost i višerazinsko upravljanje.</w:t>
                  </w:r>
                </w:p>
              </w:tc>
              <w:tc>
                <w:tcPr>
                  <w:tcW w:w="34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spacing w:line="187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</w:rPr>
                    <w:t xml:space="preserve">Priprema osnovnih elemenata projekta prilagođenih zahtjevima regionalne politike EU </w:t>
                  </w:r>
                </w:p>
              </w:tc>
            </w:tr>
            <w:tr w:rsidR="00874960" w:rsidRPr="00E31856" w:rsidTr="001B3720">
              <w:trPr>
                <w:trHeight w:hRule="exact" w:val="374"/>
                <w:jc w:val="center"/>
              </w:trPr>
              <w:tc>
                <w:tcPr>
                  <w:tcW w:w="347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spacing w:line="150" w:lineRule="exact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4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</w:rPr>
                    <w:t>Priprema osnovnih elemenata projekta prilagođenih zahtjevima regionalne politike EU</w:t>
                  </w:r>
                </w:p>
              </w:tc>
            </w:tr>
            <w:tr w:rsidR="00874960" w:rsidRPr="00E31856" w:rsidTr="001B3720">
              <w:trPr>
                <w:trHeight w:hRule="exact" w:val="379"/>
                <w:jc w:val="center"/>
              </w:trPr>
              <w:tc>
                <w:tcPr>
                  <w:tcW w:w="347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spacing w:line="187" w:lineRule="exact"/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>Institucionalne strukture za upravljanje regionalnim razvitkom: iskustva i najbolje prakse.</w:t>
                  </w:r>
                </w:p>
              </w:tc>
              <w:tc>
                <w:tcPr>
                  <w:tcW w:w="34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spacing w:line="187" w:lineRule="exact"/>
                    <w:rPr>
                      <w:rFonts w:ascii="Arial" w:hAnsi="Arial" w:cs="Arial"/>
                    </w:rPr>
                  </w:pPr>
                  <w:r w:rsidRPr="00E31856">
                    <w:rPr>
                      <w:rFonts w:ascii="Arial" w:hAnsi="Arial" w:cs="Arial"/>
                      <w:sz w:val="16"/>
                      <w:szCs w:val="16"/>
                    </w:rPr>
                    <w:t>Priprema osnovnih elemenata projekta prilagođenih zahtjevima regionalne politike EU</w:t>
                  </w:r>
                </w:p>
              </w:tc>
            </w:tr>
            <w:tr w:rsidR="00874960" w:rsidRPr="00E31856" w:rsidTr="001B3720">
              <w:trPr>
                <w:trHeight w:hRule="exact" w:val="374"/>
                <w:jc w:val="center"/>
              </w:trPr>
              <w:tc>
                <w:tcPr>
                  <w:tcW w:w="347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>Neki socijalni i ekološki aspekti regionalne politike EU.</w:t>
                  </w:r>
                </w:p>
              </w:tc>
              <w:tc>
                <w:tcPr>
                  <w:tcW w:w="34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>Seminarski radovi. Diskusija</w:t>
                  </w:r>
                </w:p>
              </w:tc>
            </w:tr>
            <w:tr w:rsidR="00874960" w:rsidRPr="00E31856" w:rsidTr="001B3720">
              <w:trPr>
                <w:trHeight w:hRule="exact" w:val="422"/>
                <w:jc w:val="center"/>
              </w:trPr>
              <w:tc>
                <w:tcPr>
                  <w:tcW w:w="3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spacing w:line="150" w:lineRule="exact"/>
                    <w:jc w:val="center"/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>Nova regionalna politika EU: Stanje i perspektive.</w:t>
                  </w:r>
                </w:p>
              </w:tc>
              <w:tc>
                <w:tcPr>
                  <w:tcW w:w="34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874960" w:rsidRPr="00E31856" w:rsidRDefault="00874960" w:rsidP="001B3720">
                  <w:pPr>
                    <w:rPr>
                      <w:rFonts w:ascii="Arial" w:hAnsi="Arial" w:cs="Arial"/>
                    </w:rPr>
                  </w:pPr>
                  <w:r w:rsidRPr="00E31856">
                    <w:rPr>
                      <w:rStyle w:val="BodyText1"/>
                      <w:rFonts w:ascii="Arial" w:eastAsia="Calibri" w:hAnsi="Arial" w:cs="Arial"/>
                    </w:rPr>
                    <w:t>Seminarski radovi. Diskusija</w:t>
                  </w:r>
                </w:p>
              </w:tc>
            </w:tr>
          </w:tbl>
          <w:p w:rsidR="00874960" w:rsidRPr="00E31856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960" w:rsidRPr="00E31856" w:rsidTr="001B372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3185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874960" w:rsidRPr="00E31856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:rsidR="00874960" w:rsidRPr="00E31856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D2A99"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D2A99" w:rsidRPr="00E31856">
              <w:rPr>
                <w:rFonts w:ascii="Arial" w:hAnsi="Arial" w:cs="Arial"/>
                <w:sz w:val="20"/>
                <w:szCs w:val="20"/>
              </w:rPr>
            </w:r>
            <w:r w:rsidR="002D2A99"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="002D2A99"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E3185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3185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74960" w:rsidRPr="00E31856" w:rsidTr="001B372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74960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Redovito pohađanje nastave (70% prisustvovanja na vježbama) i izrada seminarskog rada</w:t>
            </w:r>
          </w:p>
        </w:tc>
      </w:tr>
      <w:tr w:rsidR="00874960" w:rsidRPr="00E31856" w:rsidTr="001B372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3185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2D2A9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2D2A9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74960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87496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74960" w:rsidRPr="00E31856" w:rsidRDefault="002D2A9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74960" w:rsidRPr="00E31856" w:rsidRDefault="002D2A9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74960" w:rsidRPr="00E31856" w:rsidRDefault="002D2A9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74960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2D2A9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74960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87496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74960" w:rsidRPr="00E31856" w:rsidRDefault="002D2A9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74960" w:rsidRPr="00E31856" w:rsidRDefault="002D2A9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74960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2D2A99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74960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74960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87496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74960" w:rsidRPr="00E31856" w:rsidRDefault="002D2A9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74960" w:rsidRPr="00E31856" w:rsidRDefault="002D2A9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74960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2D2A9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74960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87496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2D2A9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2D2A9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74960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E31856" w:rsidRDefault="002D2A9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74960" w:rsidRPr="00E31856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77DF2" w:rsidRPr="00690B06" w:rsidRDefault="002D2A99" w:rsidP="00677DF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874960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874960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874960" w:rsidRPr="00E3185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77DF2" w:rsidRPr="00690B06">
              <w:rPr>
                <w:rFonts w:ascii="Times New Roman" w:hAnsi="Times New Roman" w:cs="Arial"/>
                <w:sz w:val="20"/>
                <w:szCs w:val="20"/>
              </w:rPr>
              <w:t xml:space="preserve">*Student koji položi oba kolokvija oslobođen je polaganja ispita. </w:t>
            </w:r>
          </w:p>
          <w:p w:rsidR="00677DF2" w:rsidRPr="00677DF2" w:rsidRDefault="00677DF2" w:rsidP="00677DF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  <w:p w:rsidR="00677DF2" w:rsidRPr="00677DF2" w:rsidRDefault="00677DF2" w:rsidP="00677DF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677DF2">
              <w:rPr>
                <w:rFonts w:ascii="Times New Roman" w:hAnsi="Times New Roman" w:cs="Arial"/>
                <w:sz w:val="20"/>
                <w:szCs w:val="20"/>
              </w:rPr>
              <w:t xml:space="preserve">Uvjeti za potpis: pohađanja 70% sati nastave (predavanja i vježbe). </w:t>
            </w:r>
          </w:p>
          <w:p w:rsidR="00677DF2" w:rsidRPr="00677DF2" w:rsidRDefault="00677DF2" w:rsidP="00677DF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677DF2">
              <w:rPr>
                <w:rFonts w:ascii="Times New Roman" w:hAnsi="Times New Roman" w:cs="Arial"/>
                <w:sz w:val="20"/>
                <w:szCs w:val="20"/>
              </w:rPr>
              <w:t>Uvjet za izlazak na ispit je potpis i pozitivno ocijenjeni seminar.</w:t>
            </w:r>
          </w:p>
          <w:p w:rsidR="00677DF2" w:rsidRPr="00677DF2" w:rsidRDefault="00677DF2" w:rsidP="00677DF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677DF2">
              <w:rPr>
                <w:rFonts w:ascii="Times New Roman" w:hAnsi="Times New Roman" w:cs="Arial"/>
                <w:sz w:val="20"/>
                <w:szCs w:val="20"/>
              </w:rPr>
              <w:t xml:space="preserve">Na kolegiju se održavaju dva kolokvija; pozitivno ocijenjen prvi kolokvij je uvjet za izlazak na drugi kolokvij. Student koji položi oba kolokvija oslobođen je polaganja ispita. </w:t>
            </w:r>
          </w:p>
          <w:p w:rsidR="00677DF2" w:rsidRPr="00677DF2" w:rsidRDefault="00677DF2" w:rsidP="00677DF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7DF2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 (kolokviji i ispit):</w:t>
            </w:r>
          </w:p>
          <w:p w:rsidR="00677DF2" w:rsidRPr="00677DF2" w:rsidRDefault="00677DF2" w:rsidP="00677DF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7DF2">
              <w:rPr>
                <w:rFonts w:ascii="Arial" w:hAnsi="Arial" w:cs="Arial"/>
                <w:color w:val="FF0000"/>
                <w:sz w:val="20"/>
                <w:szCs w:val="20"/>
              </w:rPr>
              <w:t>0-49      nedovoljan (1)</w:t>
            </w:r>
          </w:p>
          <w:p w:rsidR="00677DF2" w:rsidRPr="00677DF2" w:rsidRDefault="00677DF2" w:rsidP="00677DF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7DF2">
              <w:rPr>
                <w:rFonts w:ascii="Arial" w:hAnsi="Arial" w:cs="Arial"/>
                <w:color w:val="FF0000"/>
                <w:sz w:val="20"/>
                <w:szCs w:val="20"/>
              </w:rPr>
              <w:t>50-65    dovoljan (2)</w:t>
            </w:r>
          </w:p>
          <w:p w:rsidR="00677DF2" w:rsidRPr="00677DF2" w:rsidRDefault="00677DF2" w:rsidP="00677DF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7DF2">
              <w:rPr>
                <w:rFonts w:ascii="Arial" w:hAnsi="Arial" w:cs="Arial"/>
                <w:color w:val="FF0000"/>
                <w:sz w:val="20"/>
                <w:szCs w:val="20"/>
              </w:rPr>
              <w:t>66-75    dobar (3)</w:t>
            </w:r>
          </w:p>
          <w:p w:rsidR="00677DF2" w:rsidRPr="00677DF2" w:rsidRDefault="00677DF2" w:rsidP="00677DF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7DF2">
              <w:rPr>
                <w:rFonts w:ascii="Arial" w:hAnsi="Arial" w:cs="Arial"/>
                <w:color w:val="FF0000"/>
                <w:sz w:val="20"/>
                <w:szCs w:val="20"/>
              </w:rPr>
              <w:t>76-85    vrlo dobar (4)</w:t>
            </w:r>
          </w:p>
          <w:p w:rsidR="00677DF2" w:rsidRPr="00677DF2" w:rsidRDefault="00677DF2" w:rsidP="00677DF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77DF2">
              <w:rPr>
                <w:rFonts w:ascii="Arial" w:hAnsi="Arial" w:cs="Arial"/>
                <w:color w:val="FF0000"/>
                <w:sz w:val="20"/>
                <w:szCs w:val="20"/>
              </w:rPr>
              <w:t>86-100  izvrstan (5)</w:t>
            </w:r>
          </w:p>
          <w:p w:rsidR="00677DF2" w:rsidRPr="00E31856" w:rsidRDefault="00677DF2" w:rsidP="00677DF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77DF2">
              <w:rPr>
                <w:rFonts w:ascii="Times New Roman" w:hAnsi="Times New Roman" w:cs="Arial"/>
                <w:sz w:val="20"/>
                <w:szCs w:val="20"/>
              </w:rPr>
              <w:t xml:space="preserve">Struktura konačne ocjene: Oba pozitivno ocijenjena kolokvija / ispit (50% konačne ocjene), pohađanje i aktivno sudjelovanje u  nastavi (10%),  izrada i </w:t>
            </w:r>
            <w:r>
              <w:rPr>
                <w:rFonts w:ascii="Times New Roman" w:hAnsi="Times New Roman" w:cs="Arial"/>
                <w:sz w:val="20"/>
                <w:szCs w:val="20"/>
              </w:rPr>
              <w:t>prezentacija seminarskog rada (4</w:t>
            </w:r>
            <w:r w:rsidRPr="00677DF2">
              <w:rPr>
                <w:rFonts w:ascii="Times New Roman" w:hAnsi="Times New Roman" w:cs="Arial"/>
                <w:sz w:val="20"/>
                <w:szCs w:val="20"/>
              </w:rPr>
              <w:t>0% konačne ocjene).</w:t>
            </w:r>
          </w:p>
          <w:p w:rsidR="00874960" w:rsidRPr="00E31856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74960" w:rsidRPr="00E31856" w:rsidTr="001B372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31856">
              <w:rPr>
                <w:rFonts w:ascii="Arial" w:hAnsi="Arial" w:cs="Arial"/>
                <w:b/>
                <w:sz w:val="16"/>
                <w:szCs w:val="16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31856">
              <w:rPr>
                <w:rFonts w:ascii="Arial" w:hAnsi="Arial" w:cs="Arial"/>
                <w:b/>
                <w:sz w:val="16"/>
                <w:szCs w:val="16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74960" w:rsidRPr="00E31856" w:rsidRDefault="00874960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31856">
              <w:rPr>
                <w:rFonts w:ascii="Arial" w:hAnsi="Arial" w:cs="Arial"/>
                <w:b/>
                <w:sz w:val="16"/>
                <w:szCs w:val="16"/>
              </w:rPr>
              <w:t>Dostupnost putem ostalih medija</w:t>
            </w:r>
          </w:p>
        </w:tc>
      </w:tr>
      <w:tr w:rsidR="00A422FC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E31856" w:rsidRDefault="00A422FC" w:rsidP="00A422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A13323" w:rsidRDefault="00A422FC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Autorizirana predavanja i </w:t>
            </w:r>
            <w:r>
              <w:rPr>
                <w:rFonts w:ascii="Arial" w:hAnsi="Arial" w:cs="Arial"/>
                <w:sz w:val="20"/>
                <w:szCs w:val="20"/>
              </w:rPr>
              <w:t>nastavni materijali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na</w:t>
            </w:r>
            <w:r>
              <w:rPr>
                <w:rFonts w:ascii="Arial" w:hAnsi="Arial" w:cs="Arial"/>
                <w:sz w:val="20"/>
                <w:szCs w:val="20"/>
              </w:rPr>
              <w:t xml:space="preserve"> Moodle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A422FC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A422FC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Moodle</w:t>
            </w:r>
          </w:p>
        </w:tc>
      </w:tr>
      <w:tr w:rsidR="00A422FC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E31856" w:rsidRDefault="00A422FC" w:rsidP="00A422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A422FC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BACHTLER J. (et al.).</w:t>
            </w:r>
            <w:r w:rsidRPr="00E31856">
              <w:rPr>
                <w:rStyle w:val="apple-converted-space"/>
                <w:rFonts w:ascii="Arial" w:hAnsi="Arial" w:cs="Arial"/>
                <w:shd w:val="clear" w:color="auto" w:fill="FFFFFF"/>
              </w:rPr>
              <w:t> </w:t>
            </w:r>
            <w:r w:rsidRPr="00E31856">
              <w:rPr>
                <w:rStyle w:val="Emphasis"/>
                <w:rFonts w:ascii="Arial" w:hAnsi="Arial" w:cs="Arial"/>
                <w:sz w:val="16"/>
                <w:szCs w:val="16"/>
                <w:shd w:val="clear" w:color="auto" w:fill="FFFFFF"/>
              </w:rPr>
              <w:t>Evaluation of the main achievements of Cohesion policy programmes and projects over the longer term in 15 selected regions (from 1989-1993 programme period to the present)</w:t>
            </w:r>
            <w:r w:rsidRPr="00E31856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. Luxembourg: Publications Office, 2013.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A422FC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t>On-line</w:t>
            </w:r>
          </w:p>
        </w:tc>
      </w:tr>
      <w:tr w:rsidR="00A422FC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E31856" w:rsidRDefault="00A422FC" w:rsidP="00A422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A422FC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EUROPEAN COMMISSION. T</w:t>
            </w:r>
            <w:r w:rsidRPr="00E31856">
              <w:rPr>
                <w:rStyle w:val="Emphasis"/>
                <w:rFonts w:ascii="Arial" w:hAnsi="Arial" w:cs="Arial"/>
                <w:sz w:val="16"/>
                <w:szCs w:val="16"/>
                <w:shd w:val="clear" w:color="auto" w:fill="FFFFFF"/>
              </w:rPr>
              <w:t>he urban and regional dimension of the crisis: eighth progress report on economic, social and territorial cohesion</w:t>
            </w:r>
            <w:r w:rsidRPr="00E31856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. Luxembourg: Publications Office, 2013.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A422FC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t>On-line</w:t>
            </w:r>
          </w:p>
        </w:tc>
      </w:tr>
      <w:tr w:rsidR="00A422FC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E31856" w:rsidRDefault="00A422FC" w:rsidP="00A422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A422FC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E31856" w:rsidRDefault="00A422FC" w:rsidP="00A422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A422FC" w:rsidRPr="00E31856" w:rsidTr="001B372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E31856" w:rsidRDefault="00A422FC" w:rsidP="00A422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A422FC" w:rsidRPr="00E31856" w:rsidTr="001B372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E31856" w:rsidRDefault="00A422FC" w:rsidP="00A422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A422FC" w:rsidRPr="00E31856" w:rsidTr="001B372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E31856" w:rsidRDefault="00A422FC" w:rsidP="00A422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A422FC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E31856" w:rsidRDefault="00A422FC" w:rsidP="00A422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6"/>
                <w:szCs w:val="16"/>
              </w:rPr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E3185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A422FC" w:rsidRPr="00E31856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E31856" w:rsidRDefault="00A422FC" w:rsidP="00A422F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A422FC" w:rsidRPr="00E31856" w:rsidRDefault="00A422FC" w:rsidP="00A422F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161B" w:rsidRPr="00BB4F2D" w:rsidRDefault="003F161B" w:rsidP="003F161B">
            <w:pPr>
              <w:tabs>
                <w:tab w:val="left" w:pos="2820"/>
              </w:tabs>
              <w:spacing w:after="0"/>
              <w:rPr>
                <w:rFonts w:ascii="Candara" w:hAnsi="Candara"/>
                <w:color w:val="000000"/>
                <w:sz w:val="20"/>
                <w:szCs w:val="20"/>
              </w:rPr>
            </w:pPr>
            <w:r w:rsidRPr="00BB4F2D">
              <w:rPr>
                <w:rFonts w:ascii="Candara" w:hAnsi="Candara"/>
                <w:bCs/>
                <w:i/>
                <w:iCs/>
                <w:color w:val="000000"/>
                <w:sz w:val="20"/>
                <w:szCs w:val="20"/>
              </w:rPr>
              <w:t xml:space="preserve">Capello  i Nijkamp (2009.): Handbook of regional growth and development theories </w:t>
            </w:r>
          </w:p>
          <w:p w:rsidR="003F161B" w:rsidRPr="003F161B" w:rsidRDefault="003F161B" w:rsidP="00A422FC">
            <w:pPr>
              <w:tabs>
                <w:tab w:val="left" w:pos="2820"/>
              </w:tabs>
              <w:spacing w:after="0"/>
              <w:rPr>
                <w:rFonts w:ascii="Candara" w:hAnsi="Candara"/>
                <w:sz w:val="20"/>
                <w:szCs w:val="20"/>
              </w:rPr>
            </w:pPr>
            <w:r w:rsidRPr="00BB4F2D">
              <w:rPr>
                <w:rFonts w:ascii="Candara" w:hAnsi="Candara"/>
                <w:bCs/>
                <w:i/>
                <w:iCs/>
                <w:sz w:val="20"/>
                <w:szCs w:val="20"/>
              </w:rPr>
              <w:t xml:space="preserve">P. McCann (2013.) – Modern urban and regional economics, second edition, Oxford, </w:t>
            </w:r>
            <w:bookmarkStart w:id="0" w:name="_GoBack"/>
            <w:bookmarkEnd w:id="0"/>
          </w:p>
          <w:p w:rsidR="00A422FC" w:rsidRDefault="00A422FC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31856">
              <w:rPr>
                <w:rFonts w:ascii="Arial" w:hAnsi="Arial" w:cs="Arial"/>
                <w:sz w:val="16"/>
                <w:szCs w:val="16"/>
              </w:rPr>
              <w:t>Europa Websites-European Commission: Regional Policy (</w:t>
            </w:r>
            <w:hyperlink r:id="rId7" w:history="1">
              <w:r w:rsidR="00E45751" w:rsidRPr="00205FFC">
                <w:rPr>
                  <w:rStyle w:val="Hyperlink"/>
                  <w:rFonts w:ascii="Arial" w:hAnsi="Arial" w:cs="Arial"/>
                  <w:sz w:val="16"/>
                  <w:szCs w:val="16"/>
                </w:rPr>
                <w:t>http://europa.eu.int/comm/regional_policy/intro/regions.._en.htm</w:t>
              </w:r>
            </w:hyperlink>
            <w:r w:rsidRPr="00E31856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E45751" w:rsidRDefault="00E45751" w:rsidP="00A422F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Muštra, V.i Šimundić, B. (2017): .</w:t>
            </w:r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Izvještaj o provedbi regionalne politike u Republici Hrvatskoj u sklopu programa European Regional Policy Research Consortium (EoRPA) i za naručitelja European Policies Research Centre (EPRC), 2017</w:t>
            </w:r>
          </w:p>
          <w:p w:rsidR="00E45751" w:rsidRDefault="00E45751" w:rsidP="00A422FC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</w:pPr>
            <w:r w:rsidRPr="00E45751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Muštra, V. and Škrabić Perić, B. (2014.): Regional inequalities in the European union and the role of the institutions, Review of Urban &amp; Regional Development Studies, Vol 26 (1), pp. 20-39, Online ISSN: 1467-940X</w:t>
            </w:r>
          </w:p>
          <w:p w:rsidR="00E45751" w:rsidRPr="00E31856" w:rsidRDefault="00E45751" w:rsidP="00E4575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22FC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E31856" w:rsidRDefault="00A422FC" w:rsidP="00A422F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A422FC" w:rsidP="00A422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31856">
              <w:rPr>
                <w:rFonts w:ascii="Arial" w:hAnsi="Arial" w:cs="Arial"/>
                <w:bCs/>
                <w:sz w:val="16"/>
                <w:szCs w:val="16"/>
              </w:rPr>
              <w:t>Praćenje pohađanja nastave i uspješnosti izvršenja ostalih obveza studenata (nastavnik)</w:t>
            </w:r>
          </w:p>
          <w:p w:rsidR="00A422FC" w:rsidRPr="00E31856" w:rsidRDefault="00A422FC" w:rsidP="00A422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31856">
              <w:rPr>
                <w:rFonts w:ascii="Arial" w:hAnsi="Arial" w:cs="Arial"/>
                <w:bCs/>
                <w:sz w:val="16"/>
                <w:szCs w:val="16"/>
              </w:rPr>
              <w:t>Nadzor izvođenja nastave (prodekan za nastavu)</w:t>
            </w:r>
          </w:p>
          <w:p w:rsidR="00A422FC" w:rsidRPr="00E31856" w:rsidRDefault="00A422FC" w:rsidP="00A422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31856">
              <w:rPr>
                <w:rFonts w:ascii="Arial" w:hAnsi="Arial" w:cs="Arial"/>
                <w:bCs/>
                <w:sz w:val="16"/>
                <w:szCs w:val="16"/>
              </w:rPr>
              <w:t>Analiza uspješnosti studiranja po svim predmetima studija (prodekan za nastavu)</w:t>
            </w:r>
          </w:p>
          <w:p w:rsidR="00A422FC" w:rsidRPr="00E31856" w:rsidRDefault="00A422FC" w:rsidP="00A422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31856">
              <w:rPr>
                <w:rFonts w:ascii="Arial" w:hAnsi="Arial" w:cs="Arial"/>
                <w:bCs/>
                <w:sz w:val="16"/>
                <w:szCs w:val="16"/>
              </w:rPr>
              <w:t>Studentska anketa o kvaliteti nastavnika i nastave za svaki predmet studija (UNIST, Centar za unaprjeđenje kvalitete)</w:t>
            </w:r>
          </w:p>
          <w:p w:rsidR="00A422FC" w:rsidRPr="00E31856" w:rsidRDefault="00A422FC" w:rsidP="00A422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31856">
              <w:rPr>
                <w:rFonts w:ascii="Arial" w:hAnsi="Arial" w:cs="Arial"/>
                <w:bCs/>
                <w:sz w:val="16"/>
                <w:szCs w:val="16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A422FC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E31856" w:rsidRDefault="00A422FC" w:rsidP="00A422F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E31856" w:rsidRDefault="002D2A99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422FC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422FC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925" w:rsidRDefault="00A15925" w:rsidP="00874960">
      <w:pPr>
        <w:spacing w:after="0" w:line="240" w:lineRule="auto"/>
      </w:pPr>
      <w:r>
        <w:separator/>
      </w:r>
    </w:p>
  </w:endnote>
  <w:endnote w:type="continuationSeparator" w:id="0">
    <w:p w:rsidR="00A15925" w:rsidRDefault="00A15925" w:rsidP="00874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960" w:rsidRPr="00613736" w:rsidRDefault="00874960" w:rsidP="00874960">
    <w:pPr>
      <w:pStyle w:val="Footer"/>
      <w:rPr>
        <w:sz w:val="20"/>
        <w:szCs w:val="20"/>
      </w:rPr>
    </w:pPr>
    <w:r w:rsidRPr="00613736">
      <w:rPr>
        <w:sz w:val="20"/>
        <w:szCs w:val="20"/>
      </w:rPr>
      <w:t>2015./2016.</w:t>
    </w:r>
  </w:p>
  <w:p w:rsidR="00874960" w:rsidRPr="00874960" w:rsidRDefault="00874960">
    <w:pPr>
      <w:pStyle w:val="Footer"/>
      <w:rPr>
        <w:sz w:val="20"/>
        <w:szCs w:val="20"/>
      </w:rPr>
    </w:pPr>
    <w:r w:rsidRPr="00613736">
      <w:rPr>
        <w:sz w:val="20"/>
        <w:szCs w:val="20"/>
      </w:rPr>
      <w:t>18/09/2015-14. Sj. Senata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925" w:rsidRDefault="00A15925" w:rsidP="00874960">
      <w:pPr>
        <w:spacing w:after="0" w:line="240" w:lineRule="auto"/>
      </w:pPr>
      <w:r>
        <w:separator/>
      </w:r>
    </w:p>
  </w:footnote>
  <w:footnote w:type="continuationSeparator" w:id="0">
    <w:p w:rsidR="00A15925" w:rsidRDefault="00A15925" w:rsidP="00874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4960"/>
    <w:rsid w:val="002767BF"/>
    <w:rsid w:val="002D2A99"/>
    <w:rsid w:val="003869C1"/>
    <w:rsid w:val="003F161B"/>
    <w:rsid w:val="00505A33"/>
    <w:rsid w:val="005243EA"/>
    <w:rsid w:val="005F2629"/>
    <w:rsid w:val="00637BC9"/>
    <w:rsid w:val="00677DF2"/>
    <w:rsid w:val="00874960"/>
    <w:rsid w:val="009F13F9"/>
    <w:rsid w:val="00A15925"/>
    <w:rsid w:val="00A422FC"/>
    <w:rsid w:val="00A72429"/>
    <w:rsid w:val="00B523F6"/>
    <w:rsid w:val="00B85EAB"/>
    <w:rsid w:val="00DA05CC"/>
    <w:rsid w:val="00E45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96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87496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874960"/>
    <w:rPr>
      <w:rFonts w:cs="Times New Roman"/>
      <w:b/>
      <w:bCs/>
    </w:rPr>
  </w:style>
  <w:style w:type="character" w:styleId="Emphasis">
    <w:name w:val="Emphasis"/>
    <w:qFormat/>
    <w:rsid w:val="00874960"/>
    <w:rPr>
      <w:i/>
      <w:iCs/>
    </w:rPr>
  </w:style>
  <w:style w:type="character" w:customStyle="1" w:styleId="BodyText1">
    <w:name w:val="Body Text1"/>
    <w:basedOn w:val="DefaultParagraphFont"/>
    <w:rsid w:val="008749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hr-HR"/>
    </w:rPr>
  </w:style>
  <w:style w:type="character" w:customStyle="1" w:styleId="apple-converted-space">
    <w:name w:val="apple-converted-space"/>
    <w:basedOn w:val="DefaultParagraphFont"/>
    <w:rsid w:val="00874960"/>
  </w:style>
  <w:style w:type="paragraph" w:styleId="Header">
    <w:name w:val="header"/>
    <w:basedOn w:val="Normal"/>
    <w:link w:val="HeaderChar"/>
    <w:uiPriority w:val="99"/>
    <w:semiHidden/>
    <w:unhideWhenUsed/>
    <w:rsid w:val="00874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496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74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74960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E457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uropa.eu.int/comm/regional_policy/intro/regions.._en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2018-06-01T08:20:00Z</dcterms:created>
  <dcterms:modified xsi:type="dcterms:W3CDTF">2018-06-01T08:20:00Z</dcterms:modified>
</cp:coreProperties>
</file>